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E4" w:rsidRPr="00A944E4" w:rsidRDefault="00A944E4" w:rsidP="00A944E4">
      <w:pPr>
        <w:widowControl w:val="0"/>
        <w:autoSpaceDE w:val="0"/>
        <w:autoSpaceDN w:val="0"/>
        <w:adjustRightInd w:val="0"/>
        <w:ind w:left="4956" w:firstLine="708"/>
        <w:rPr>
          <w:rFonts w:ascii="Times New Roman" w:hAnsi="Times New Roman"/>
          <w:b/>
          <w:szCs w:val="36"/>
        </w:rPr>
      </w:pPr>
      <w:bookmarkStart w:id="0" w:name="_GoBack"/>
      <w:bookmarkEnd w:id="0"/>
    </w:p>
    <w:p w:rsidR="003E1D7B" w:rsidRDefault="00766D42" w:rsidP="00F90504">
      <w:pPr>
        <w:widowControl w:val="0"/>
        <w:autoSpaceDE w:val="0"/>
        <w:autoSpaceDN w:val="0"/>
        <w:adjustRightInd w:val="0"/>
        <w:rPr>
          <w:rFonts w:ascii="Times New Roman" w:hAnsi="Times New Roman"/>
          <w:b/>
          <w:sz w:val="30"/>
          <w:szCs w:val="30"/>
        </w:rPr>
      </w:pPr>
      <w:r w:rsidRPr="00766D42">
        <w:rPr>
          <w:rFonts w:ascii="Times New Roman" w:hAnsi="Times New Roman"/>
          <w:b/>
          <w:sz w:val="30"/>
          <w:szCs w:val="30"/>
        </w:rPr>
        <w:t>Информационные материалы к Всемирному дню охраны труда</w:t>
      </w:r>
    </w:p>
    <w:p w:rsidR="00E16C5E" w:rsidRPr="00766D42" w:rsidRDefault="00E16C5E" w:rsidP="00F90504">
      <w:pPr>
        <w:widowControl w:val="0"/>
        <w:autoSpaceDE w:val="0"/>
        <w:autoSpaceDN w:val="0"/>
        <w:adjustRightInd w:val="0"/>
        <w:rPr>
          <w:rFonts w:ascii="Times New Roman" w:hAnsi="Times New Roman"/>
          <w:b/>
          <w:sz w:val="30"/>
          <w:szCs w:val="30"/>
        </w:rPr>
      </w:pPr>
    </w:p>
    <w:p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незамеченным.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lastRenderedPageBreak/>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 xml:space="preserve">2) совершенствование </w:t>
      </w:r>
      <w:proofErr w:type="spellStart"/>
      <w:r w:rsidRPr="00A602C9">
        <w:rPr>
          <w:rFonts w:ascii="Times New Roman" w:hAnsi="Times New Roman"/>
          <w:sz w:val="30"/>
          <w:szCs w:val="30"/>
        </w:rPr>
        <w:t>СУОТ</w:t>
      </w:r>
      <w:r w:rsidR="00D64D35" w:rsidRPr="00A602C9">
        <w:rPr>
          <w:rFonts w:ascii="Times New Roman" w:hAnsi="Times New Roman"/>
          <w:sz w:val="30"/>
          <w:szCs w:val="30"/>
        </w:rPr>
        <w:t>в</w:t>
      </w:r>
      <w:proofErr w:type="spellEnd"/>
      <w:r w:rsidR="00D64D35" w:rsidRPr="00A602C9">
        <w:rPr>
          <w:rFonts w:ascii="Times New Roman" w:hAnsi="Times New Roman"/>
          <w:sz w:val="30"/>
          <w:szCs w:val="30"/>
        </w:rPr>
        <w:t xml:space="preserve"> подчиненных (расположенных на подведомственной территории) организациях</w:t>
      </w:r>
      <w:r w:rsidRPr="00A602C9">
        <w:rPr>
          <w:rFonts w:ascii="Times New Roman" w:hAnsi="Times New Roman"/>
          <w:sz w:val="30"/>
          <w:szCs w:val="30"/>
        </w:rPr>
        <w:t xml:space="preserve">, направленных на выявление и минимизацию профессиональных рисков </w:t>
      </w:r>
      <w:proofErr w:type="spellStart"/>
      <w:r w:rsidRPr="00A602C9">
        <w:rPr>
          <w:rFonts w:ascii="Times New Roman" w:hAnsi="Times New Roman"/>
          <w:sz w:val="30"/>
          <w:szCs w:val="30"/>
        </w:rPr>
        <w:t>травмирования</w:t>
      </w:r>
      <w:proofErr w:type="spellEnd"/>
      <w:r w:rsidRPr="00A602C9">
        <w:rPr>
          <w:rFonts w:ascii="Times New Roman" w:hAnsi="Times New Roman"/>
          <w:sz w:val="30"/>
          <w:szCs w:val="30"/>
        </w:rPr>
        <w:t xml:space="preserve"> работников;</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 xml:space="preserve">отчетов </w:t>
      </w:r>
      <w:proofErr w:type="gramStart"/>
      <w:r w:rsidRPr="00A602C9">
        <w:rPr>
          <w:rFonts w:ascii="Times New Roman" w:hAnsi="Times New Roman"/>
          <w:sz w:val="30"/>
          <w:szCs w:val="30"/>
        </w:rPr>
        <w:t>руководителей</w:t>
      </w:r>
      <w:proofErr w:type="gramEnd"/>
      <w:r w:rsidRPr="00A602C9">
        <w:rPr>
          <w:rFonts w:ascii="Times New Roman" w:hAnsi="Times New Roman"/>
          <w:sz w:val="30"/>
          <w:szCs w:val="30"/>
        </w:rPr>
        <w:t xml:space="preserve">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p>
    <w:p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 xml:space="preserve">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В течение 2024 года проведено 34 таких мероприятия на областном уровне, 404 – на районном </w:t>
      </w:r>
      <w:r w:rsidRPr="00A602C9">
        <w:rPr>
          <w:rFonts w:ascii="Times New Roman" w:eastAsia="Times New Roman" w:hAnsi="Times New Roman"/>
          <w:sz w:val="30"/>
          <w:szCs w:val="30"/>
        </w:rPr>
        <w:lastRenderedPageBreak/>
        <w:t>(городском) и 168 мер</w:t>
      </w:r>
      <w:r w:rsidR="00427593">
        <w:rPr>
          <w:rFonts w:ascii="Times New Roman" w:eastAsia="Times New Roman" w:hAnsi="Times New Roman"/>
          <w:sz w:val="30"/>
          <w:szCs w:val="30"/>
        </w:rPr>
        <w:t xml:space="preserve">оприятий – на отраслевом </w:t>
      </w:r>
      <w:proofErr w:type="spellStart"/>
      <w:r w:rsidR="00427593">
        <w:rPr>
          <w:rFonts w:ascii="Times New Roman" w:eastAsia="Times New Roman" w:hAnsi="Times New Roman"/>
          <w:sz w:val="30"/>
          <w:szCs w:val="30"/>
        </w:rPr>
        <w:t>уровне.</w:t>
      </w:r>
      <w:r w:rsidR="00A2182D">
        <w:rPr>
          <w:rFonts w:ascii="Times New Roman" w:eastAsia="Times New Roman" w:hAnsi="Times New Roman"/>
          <w:sz w:val="30"/>
          <w:szCs w:val="30"/>
          <w:lang w:eastAsia="ru-RU"/>
        </w:rPr>
        <w:t>В</w:t>
      </w:r>
      <w:proofErr w:type="spellEnd"/>
      <w:r w:rsidR="00A2182D" w:rsidRPr="00A2182D">
        <w:rPr>
          <w:rFonts w:ascii="Times New Roman" w:eastAsia="Times New Roman" w:hAnsi="Times New Roman"/>
          <w:sz w:val="30"/>
          <w:szCs w:val="30"/>
        </w:rPr>
        <w:t xml:space="preserve"> </w:t>
      </w:r>
      <w:proofErr w:type="spellStart"/>
      <w:r w:rsidR="00A2182D" w:rsidRPr="00A2182D">
        <w:rPr>
          <w:rFonts w:ascii="Times New Roman" w:eastAsia="Times New Roman" w:hAnsi="Times New Roman"/>
          <w:sz w:val="30"/>
          <w:szCs w:val="30"/>
        </w:rPr>
        <w:t>Чашникском</w:t>
      </w:r>
      <w:proofErr w:type="spellEnd"/>
      <w:r w:rsidR="00A2182D" w:rsidRPr="00A2182D">
        <w:rPr>
          <w:rFonts w:ascii="Times New Roman" w:eastAsia="Times New Roman" w:hAnsi="Times New Roman"/>
          <w:sz w:val="30"/>
          <w:szCs w:val="30"/>
        </w:rPr>
        <w:t xml:space="preserve"> районе Витебской области, Брагинском, </w:t>
      </w:r>
      <w:proofErr w:type="spellStart"/>
      <w:r w:rsidR="00A2182D" w:rsidRPr="00A2182D">
        <w:rPr>
          <w:rFonts w:ascii="Times New Roman" w:eastAsia="Times New Roman" w:hAnsi="Times New Roman"/>
          <w:sz w:val="30"/>
          <w:szCs w:val="30"/>
        </w:rPr>
        <w:t>Кормянском</w:t>
      </w:r>
      <w:proofErr w:type="spellEnd"/>
      <w:r w:rsidR="00A2182D" w:rsidRPr="00A2182D">
        <w:rPr>
          <w:rFonts w:ascii="Times New Roman" w:eastAsia="Times New Roman" w:hAnsi="Times New Roman"/>
          <w:sz w:val="30"/>
          <w:szCs w:val="30"/>
        </w:rPr>
        <w:t xml:space="preserve"> и Чечерском районах Гомельской области, а также в </w:t>
      </w:r>
      <w:proofErr w:type="spellStart"/>
      <w:r w:rsidR="00A2182D" w:rsidRPr="00A2182D">
        <w:rPr>
          <w:rFonts w:ascii="Times New Roman" w:eastAsia="Times New Roman" w:hAnsi="Times New Roman"/>
          <w:sz w:val="30"/>
          <w:szCs w:val="30"/>
        </w:rPr>
        <w:t>Белыничском</w:t>
      </w:r>
      <w:proofErr w:type="spellEnd"/>
      <w:r w:rsidR="00A2182D" w:rsidRPr="00A2182D">
        <w:rPr>
          <w:rFonts w:ascii="Times New Roman" w:eastAsia="Times New Roman" w:hAnsi="Times New Roman"/>
          <w:sz w:val="30"/>
          <w:szCs w:val="30"/>
        </w:rPr>
        <w:t xml:space="preserve"> районе Могилевской области </w:t>
      </w:r>
      <w:r w:rsidR="00A2182D" w:rsidRPr="00A2182D">
        <w:rPr>
          <w:rFonts w:ascii="Times New Roman" w:eastAsia="Times New Roman" w:hAnsi="Times New Roman"/>
          <w:iCs/>
          <w:sz w:val="30"/>
          <w:szCs w:val="30"/>
        </w:rPr>
        <w:t xml:space="preserve">не только в 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firstRow="1" w:lastRow="0" w:firstColumn="1" w:lastColumn="0" w:noHBand="0" w:noVBand="1"/>
      </w:tblPr>
      <w:tblGrid>
        <w:gridCol w:w="4678"/>
        <w:gridCol w:w="2075"/>
        <w:gridCol w:w="2861"/>
      </w:tblGrid>
      <w:tr w:rsidR="00D64D35" w:rsidRPr="00A602C9" w:rsidTr="00D64D35">
        <w:tc>
          <w:tcPr>
            <w:tcW w:w="4678" w:type="dxa"/>
            <w:tcBorders>
              <w:top w:val="single" w:sz="8" w:space="0" w:color="auto"/>
              <w:left w:val="single" w:sz="8" w:space="0" w:color="auto"/>
              <w:bottom w:val="single" w:sz="8" w:space="0" w:color="auto"/>
              <w:right w:val="single" w:sz="8" w:space="0" w:color="auto"/>
            </w:tcBorders>
            <w:vAlign w:val="center"/>
          </w:tcPr>
          <w:p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rsidR="00232361" w:rsidRPr="00A602C9" w:rsidRDefault="00232361" w:rsidP="00232361">
      <w:pPr>
        <w:ind w:firstLine="709"/>
        <w:jc w:val="both"/>
        <w:rPr>
          <w:rFonts w:ascii="Times New Roman" w:eastAsia="Times New Roman" w:hAnsi="Times New Roman"/>
          <w:sz w:val="30"/>
          <w:szCs w:val="30"/>
        </w:rPr>
      </w:pPr>
    </w:p>
    <w:p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 xml:space="preserve">Проводится работа по укомплектованию организаций квалифицированными специалистами по охране </w:t>
      </w:r>
      <w:proofErr w:type="spellStart"/>
      <w:r>
        <w:rPr>
          <w:rFonts w:ascii="Times New Roman" w:hAnsi="Times New Roman"/>
          <w:sz w:val="30"/>
          <w:szCs w:val="30"/>
        </w:rPr>
        <w:t>труда.</w:t>
      </w:r>
      <w:r>
        <w:rPr>
          <w:rFonts w:ascii="Times New Roman" w:eastAsia="Times New Roman" w:hAnsi="Times New Roman"/>
          <w:sz w:val="30"/>
          <w:szCs w:val="30"/>
        </w:rPr>
        <w:t>П</w:t>
      </w:r>
      <w:r w:rsidRPr="00A602C9">
        <w:rPr>
          <w:rFonts w:ascii="Times New Roman" w:eastAsia="Times New Roman" w:hAnsi="Times New Roman"/>
          <w:sz w:val="30"/>
          <w:szCs w:val="30"/>
        </w:rPr>
        <w:t>о</w:t>
      </w:r>
      <w:proofErr w:type="spellEnd"/>
      <w:r w:rsidRPr="00A602C9">
        <w:rPr>
          <w:rFonts w:ascii="Times New Roman" w:eastAsia="Times New Roman" w:hAnsi="Times New Roman"/>
          <w:sz w:val="30"/>
          <w:szCs w:val="30"/>
        </w:rPr>
        <w:t xml:space="preserve">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w:t>
      </w:r>
      <w:proofErr w:type="spellStart"/>
      <w:proofErr w:type="gramStart"/>
      <w:r w:rsidRPr="00A602C9">
        <w:rPr>
          <w:rFonts w:ascii="Times New Roman" w:eastAsia="Times New Roman" w:hAnsi="Times New Roman"/>
          <w:sz w:val="30"/>
          <w:szCs w:val="30"/>
        </w:rPr>
        <w:t>труда,в</w:t>
      </w:r>
      <w:proofErr w:type="spellEnd"/>
      <w:proofErr w:type="gramEnd"/>
      <w:r w:rsidRPr="00A602C9">
        <w:rPr>
          <w:rFonts w:ascii="Times New Roman" w:eastAsia="Times New Roman" w:hAnsi="Times New Roman"/>
          <w:sz w:val="30"/>
          <w:szCs w:val="30"/>
        </w:rPr>
        <w:t xml:space="preserve">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 xml:space="preserve">по вопросам практического применения законодательства об охране труда, в том </w:t>
      </w:r>
      <w:proofErr w:type="gramStart"/>
      <w:r w:rsidRPr="00A602C9">
        <w:rPr>
          <w:rFonts w:ascii="Times New Roman" w:eastAsia="Times New Roman" w:hAnsi="Times New Roman"/>
          <w:sz w:val="30"/>
          <w:szCs w:val="30"/>
        </w:rPr>
        <w:t xml:space="preserve">числе  </w:t>
      </w:r>
      <w:r w:rsidRPr="00A602C9">
        <w:rPr>
          <w:rFonts w:ascii="Times New Roman" w:eastAsia="Times New Roman" w:hAnsi="Times New Roman"/>
          <w:sz w:val="30"/>
          <w:szCs w:val="30"/>
        </w:rPr>
        <w:lastRenderedPageBreak/>
        <w:t>проведен</w:t>
      </w:r>
      <w:r w:rsidR="009A74FC">
        <w:rPr>
          <w:rFonts w:ascii="Times New Roman" w:eastAsia="Times New Roman" w:hAnsi="Times New Roman"/>
          <w:sz w:val="30"/>
          <w:szCs w:val="30"/>
        </w:rPr>
        <w:t>а</w:t>
      </w:r>
      <w:proofErr w:type="gramEnd"/>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на 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
    <w:p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w:t>
      </w:r>
      <w:proofErr w:type="spellStart"/>
      <w:r w:rsidR="00076147">
        <w:rPr>
          <w:rFonts w:ascii="Times New Roman" w:eastAsia="Times New Roman" w:hAnsi="Times New Roman"/>
          <w:sz w:val="30"/>
          <w:szCs w:val="30"/>
        </w:rPr>
        <w:t>среди</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proofErr w:type="spellEnd"/>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rsidR="00D068B5" w:rsidRDefault="00D068B5" w:rsidP="005A2948">
      <w:pPr>
        <w:suppressAutoHyphens/>
        <w:ind w:firstLine="709"/>
        <w:jc w:val="both"/>
        <w:rPr>
          <w:rFonts w:ascii="Times New Roman" w:hAnsi="Times New Roman"/>
          <w:iCs/>
          <w:sz w:val="30"/>
          <w:szCs w:val="30"/>
        </w:rPr>
      </w:pPr>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 xml:space="preserve">организациях </w:t>
      </w:r>
      <w:proofErr w:type="spellStart"/>
      <w:r w:rsidRPr="005A2948">
        <w:rPr>
          <w:rFonts w:ascii="Times New Roman" w:hAnsi="Times New Roman"/>
          <w:iCs/>
          <w:sz w:val="30"/>
          <w:szCs w:val="30"/>
        </w:rPr>
        <w:t>республикипо</w:t>
      </w:r>
      <w:proofErr w:type="spellEnd"/>
      <w:r w:rsidRPr="005A2948">
        <w:rPr>
          <w:rFonts w:ascii="Times New Roman" w:hAnsi="Times New Roman"/>
          <w:iCs/>
          <w:sz w:val="30"/>
          <w:szCs w:val="30"/>
        </w:rPr>
        <w:t xml:space="preserve">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
    <w:p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 </w:t>
      </w:r>
      <w:r w:rsidR="009A74FC">
        <w:rPr>
          <w:rFonts w:ascii="Times New Roman" w:hAnsi="Times New Roman"/>
          <w:sz w:val="30"/>
          <w:szCs w:val="30"/>
        </w:rPr>
        <w:t>2</w:t>
      </w:r>
      <w:r w:rsidRPr="005A2948">
        <w:rPr>
          <w:rFonts w:ascii="Times New Roman" w:hAnsi="Times New Roman"/>
          <w:sz w:val="30"/>
          <w:szCs w:val="30"/>
        </w:rPr>
        <w:t>.</w:t>
      </w:r>
    </w:p>
    <w:p w:rsidR="00D64D35" w:rsidRDefault="00D64D35" w:rsidP="00F90504">
      <w:pPr>
        <w:suppressAutoHyphens/>
        <w:ind w:firstLine="709"/>
        <w:jc w:val="both"/>
        <w:rPr>
          <w:rFonts w:ascii="Times New Roman" w:hAnsi="Times New Roman"/>
          <w:sz w:val="30"/>
          <w:szCs w:val="30"/>
        </w:rPr>
      </w:pPr>
    </w:p>
    <w:p w:rsidR="00D64D35" w:rsidRDefault="00D64D35" w:rsidP="00F90504">
      <w:pPr>
        <w:suppressAutoHyphens/>
        <w:ind w:firstLine="709"/>
        <w:jc w:val="both"/>
        <w:rPr>
          <w:rFonts w:ascii="Times New Roman" w:hAnsi="Times New Roman"/>
          <w:sz w:val="30"/>
          <w:szCs w:val="30"/>
        </w:rPr>
      </w:pPr>
    </w:p>
    <w:p w:rsidR="00D64D35" w:rsidRPr="005A2948" w:rsidRDefault="00D64D35" w:rsidP="00F90504">
      <w:pPr>
        <w:suppressAutoHyphens/>
        <w:ind w:firstLine="709"/>
        <w:jc w:val="both"/>
        <w:rPr>
          <w:rFonts w:ascii="Times New Roman" w:hAnsi="Times New Roman"/>
          <w:sz w:val="30"/>
          <w:szCs w:val="30"/>
        </w:rPr>
      </w:pPr>
    </w:p>
    <w:p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 xml:space="preserve">Численность </w:t>
      </w:r>
      <w:proofErr w:type="gramStart"/>
      <w:r w:rsidRPr="009A74FC">
        <w:rPr>
          <w:rFonts w:ascii="Times New Roman" w:hAnsi="Times New Roman"/>
          <w:iCs/>
          <w:sz w:val="28"/>
          <w:szCs w:val="28"/>
        </w:rPr>
        <w:t>работников</w:t>
      </w:r>
      <w:proofErr w:type="gramEnd"/>
      <w:r w:rsidRPr="009A74FC">
        <w:rPr>
          <w:rFonts w:ascii="Times New Roman" w:hAnsi="Times New Roman"/>
          <w:iCs/>
          <w:sz w:val="28"/>
          <w:szCs w:val="28"/>
        </w:rPr>
        <w:t xml:space="preserve"> пользующихся компенсациями по условиям труда</w:t>
      </w:r>
      <w:r w:rsidR="00D068B5" w:rsidRPr="009A74FC">
        <w:rPr>
          <w:rFonts w:ascii="Times New Roman" w:hAnsi="Times New Roman"/>
          <w:iCs/>
          <w:sz w:val="28"/>
          <w:szCs w:val="28"/>
        </w:rPr>
        <w:t xml:space="preserve"> (</w:t>
      </w:r>
      <w:proofErr w:type="spellStart"/>
      <w:r w:rsidR="00D068B5" w:rsidRPr="009A74FC">
        <w:rPr>
          <w:rFonts w:ascii="Times New Roman" w:hAnsi="Times New Roman"/>
          <w:iCs/>
          <w:sz w:val="28"/>
          <w:szCs w:val="28"/>
        </w:rPr>
        <w:t>тыс.человек</w:t>
      </w:r>
      <w:proofErr w:type="spellEnd"/>
      <w:r w:rsidR="00D068B5" w:rsidRPr="009A74FC">
        <w:rPr>
          <w:rFonts w:ascii="Times New Roman" w:hAnsi="Times New Roman"/>
          <w:i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95"/>
        <w:gridCol w:w="1607"/>
        <w:gridCol w:w="188"/>
        <w:gridCol w:w="1796"/>
      </w:tblGrid>
      <w:tr w:rsidR="00D068B5" w:rsidRPr="005A2948" w:rsidTr="009A74FC">
        <w:trPr>
          <w:trHeight w:val="328"/>
        </w:trPr>
        <w:tc>
          <w:tcPr>
            <w:tcW w:w="4361" w:type="dxa"/>
          </w:tcPr>
          <w:p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Pr="009A74FC">
              <w:rPr>
                <w:rFonts w:ascii="Times New Roman" w:hAnsi="Times New Roman"/>
                <w:sz w:val="24"/>
                <w:szCs w:val="24"/>
              </w:rPr>
              <w:t>г.</w:t>
            </w:r>
          </w:p>
        </w:tc>
        <w:tc>
          <w:tcPr>
            <w:tcW w:w="1607" w:type="dxa"/>
          </w:tcPr>
          <w:p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rsidR="00D068B5" w:rsidRPr="009A74FC" w:rsidRDefault="00D068B5" w:rsidP="00D95485">
            <w:pPr>
              <w:rPr>
                <w:rFonts w:ascii="Times New Roman" w:hAnsi="Times New Roman"/>
                <w:sz w:val="24"/>
                <w:szCs w:val="24"/>
              </w:rPr>
            </w:pPr>
            <w:r w:rsidRPr="009A74FC">
              <w:rPr>
                <w:rFonts w:ascii="Times New Roman" w:hAnsi="Times New Roman"/>
                <w:sz w:val="24"/>
                <w:szCs w:val="24"/>
              </w:rPr>
              <w:t xml:space="preserve">Увеличение </w:t>
            </w:r>
            <w:r w:rsidRPr="009A74FC">
              <w:rPr>
                <w:rFonts w:ascii="Times New Roman" w:hAnsi="Times New Roman"/>
                <w:sz w:val="24"/>
                <w:szCs w:val="24"/>
              </w:rPr>
              <w:lastRenderedPageBreak/>
              <w:t>(уменьшение), %</w:t>
            </w:r>
          </w:p>
        </w:tc>
      </w:tr>
      <w:tr w:rsidR="00D068B5" w:rsidRPr="005A2948" w:rsidTr="00D95485">
        <w:trPr>
          <w:trHeight w:val="543"/>
        </w:trPr>
        <w:tc>
          <w:tcPr>
            <w:tcW w:w="4361" w:type="dxa"/>
            <w:vAlign w:val="center"/>
          </w:tcPr>
          <w:p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lastRenderedPageBreak/>
              <w:t xml:space="preserve">Численность работников, которые пользуются компенсациями по условиям труда, </w:t>
            </w:r>
          </w:p>
          <w:p w:rsidR="00D068B5"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из них имеют право на: </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703,5</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rsidTr="008F303E">
        <w:trPr>
          <w:trHeight w:val="571"/>
        </w:trPr>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 xml:space="preserve">дополнительный отпуск </w:t>
            </w:r>
          </w:p>
        </w:tc>
        <w:tc>
          <w:tcPr>
            <w:tcW w:w="1795" w:type="dxa"/>
            <w:vAlign w:val="center"/>
          </w:tcPr>
          <w:p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rsidTr="00D95485">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rsidTr="000B2449">
        <w:trPr>
          <w:trHeight w:val="573"/>
        </w:trPr>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rsidR="009A74FC" w:rsidRPr="009A74FC" w:rsidRDefault="009A74FC" w:rsidP="00783B37">
      <w:pPr>
        <w:ind w:firstLine="720"/>
        <w:jc w:val="both"/>
        <w:rPr>
          <w:rFonts w:ascii="Times New Roman" w:hAnsi="Times New Roman"/>
          <w:sz w:val="16"/>
          <w:szCs w:val="16"/>
        </w:rPr>
      </w:pPr>
    </w:p>
    <w:p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случа</w:t>
      </w:r>
      <w:r w:rsidR="00965890" w:rsidRPr="005A2948">
        <w:rPr>
          <w:rFonts w:ascii="Times New Roman" w:hAnsi="Times New Roman"/>
          <w:sz w:val="30"/>
          <w:szCs w:val="30"/>
        </w:rPr>
        <w:t>ев</w:t>
      </w:r>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xml:space="preserve">, острые профессиональные заболевания не </w:t>
      </w:r>
      <w:proofErr w:type="gramStart"/>
      <w:r w:rsidR="00D75BA3" w:rsidRPr="005A2948">
        <w:rPr>
          <w:rFonts w:ascii="Times New Roman" w:hAnsi="Times New Roman"/>
          <w:sz w:val="30"/>
          <w:szCs w:val="30"/>
        </w:rPr>
        <w:t>регистрировались</w:t>
      </w:r>
      <w:r w:rsidR="00D679C3" w:rsidRPr="005A2948">
        <w:rPr>
          <w:rFonts w:ascii="Times New Roman" w:hAnsi="Times New Roman"/>
          <w:sz w:val="30"/>
          <w:szCs w:val="30"/>
        </w:rPr>
        <w:t>(</w:t>
      </w:r>
      <w:proofErr w:type="gramEnd"/>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w:t>
      </w:r>
      <w:proofErr w:type="gramStart"/>
      <w:r w:rsidR="00D17920" w:rsidRPr="005A2948">
        <w:rPr>
          <w:rFonts w:ascii="Times New Roman" w:hAnsi="Times New Roman"/>
          <w:sz w:val="30"/>
          <w:szCs w:val="30"/>
        </w:rPr>
        <w:t>женщин</w:t>
      </w:r>
      <w:r w:rsidR="00965890" w:rsidRPr="005A2948">
        <w:rPr>
          <w:rFonts w:ascii="Times New Roman" w:hAnsi="Times New Roman"/>
          <w:sz w:val="30"/>
          <w:szCs w:val="30"/>
        </w:rPr>
        <w:t>ы</w:t>
      </w:r>
      <w:r w:rsidR="00783B37" w:rsidRPr="005A2948">
        <w:rPr>
          <w:rFonts w:ascii="Times New Roman" w:hAnsi="Times New Roman"/>
          <w:sz w:val="30"/>
          <w:szCs w:val="30"/>
        </w:rPr>
        <w:t>(</w:t>
      </w:r>
      <w:proofErr w:type="gramEnd"/>
      <w:r w:rsidR="00783B37" w:rsidRPr="005A2948">
        <w:rPr>
          <w:rFonts w:ascii="Times New Roman" w:hAnsi="Times New Roman"/>
          <w:sz w:val="30"/>
          <w:szCs w:val="30"/>
        </w:rPr>
        <w:t>в20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w:t>
      </w:r>
      <w:proofErr w:type="spellStart"/>
      <w:r w:rsidR="00783B37" w:rsidRPr="005A2948">
        <w:rPr>
          <w:rFonts w:ascii="Times New Roman" w:hAnsi="Times New Roman"/>
          <w:sz w:val="30"/>
          <w:szCs w:val="30"/>
        </w:rPr>
        <w:t>заболеваемостина</w:t>
      </w:r>
      <w:proofErr w:type="spellEnd"/>
      <w:r w:rsidR="00783B37" w:rsidRPr="005A2948">
        <w:rPr>
          <w:rFonts w:ascii="Times New Roman" w:hAnsi="Times New Roman"/>
          <w:sz w:val="30"/>
          <w:szCs w:val="30"/>
        </w:rPr>
        <w:t xml:space="preserve">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 xml:space="preserve">Минске </w:t>
      </w:r>
      <w:proofErr w:type="spellStart"/>
      <w:r w:rsidR="001F68F9" w:rsidRPr="005A2948">
        <w:rPr>
          <w:rFonts w:ascii="Times New Roman" w:hAnsi="Times New Roman"/>
          <w:sz w:val="30"/>
          <w:szCs w:val="30"/>
        </w:rPr>
        <w:t>и</w:t>
      </w:r>
      <w:r w:rsidR="00D75BA3" w:rsidRPr="005A2948">
        <w:rPr>
          <w:rFonts w:ascii="Times New Roman" w:hAnsi="Times New Roman"/>
          <w:sz w:val="30"/>
          <w:szCs w:val="30"/>
        </w:rPr>
        <w:t>Минской</w:t>
      </w:r>
      <w:proofErr w:type="spellEnd"/>
      <w:r w:rsidR="00D75BA3" w:rsidRPr="005A2948">
        <w:rPr>
          <w:rFonts w:ascii="Times New Roman" w:hAnsi="Times New Roman"/>
          <w:sz w:val="30"/>
          <w:szCs w:val="30"/>
        </w:rPr>
        <w:t xml:space="preserve">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028"/>
      </w:tblGrid>
      <w:tr w:rsidR="00BD478A" w:rsidRPr="009A74FC" w:rsidTr="00EE42D0">
        <w:trPr>
          <w:trHeight w:val="441"/>
        </w:trPr>
        <w:tc>
          <w:tcPr>
            <w:tcW w:w="3369" w:type="dxa"/>
            <w:shd w:val="clear" w:color="auto" w:fill="auto"/>
          </w:tcPr>
          <w:p w:rsidR="00BD478A" w:rsidRPr="009A74FC" w:rsidRDefault="00BD478A" w:rsidP="00211855">
            <w:pPr>
              <w:jc w:val="both"/>
              <w:rPr>
                <w:rFonts w:ascii="Times New Roman" w:hAnsi="Times New Roman"/>
                <w:sz w:val="24"/>
                <w:szCs w:val="24"/>
              </w:rPr>
            </w:pPr>
          </w:p>
        </w:tc>
        <w:tc>
          <w:tcPr>
            <w:tcW w:w="3242" w:type="dxa"/>
            <w:vAlign w:val="center"/>
          </w:tcPr>
          <w:p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rsidTr="00614261">
        <w:trPr>
          <w:trHeight w:val="397"/>
        </w:trPr>
        <w:tc>
          <w:tcPr>
            <w:tcW w:w="3369" w:type="dxa"/>
            <w:shd w:val="clear" w:color="auto" w:fill="auto"/>
            <w:vAlign w:val="center"/>
          </w:tcPr>
          <w:p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 xml:space="preserve">по производству машин и </w:t>
      </w:r>
      <w:proofErr w:type="gramStart"/>
      <w:r w:rsidR="006B52E7" w:rsidRPr="005A2948">
        <w:rPr>
          <w:rFonts w:ascii="Times New Roman" w:hAnsi="Times New Roman"/>
          <w:spacing w:val="-6"/>
          <w:sz w:val="30"/>
          <w:szCs w:val="30"/>
        </w:rPr>
        <w:t>оборудования</w:t>
      </w:r>
      <w:r w:rsidRPr="005A2948">
        <w:rPr>
          <w:rFonts w:ascii="Times New Roman" w:hAnsi="Times New Roman"/>
          <w:sz w:val="30"/>
          <w:szCs w:val="30"/>
        </w:rPr>
        <w:t>(</w:t>
      </w:r>
      <w:proofErr w:type="gramEnd"/>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p>
    <w:p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lastRenderedPageBreak/>
        <w:t xml:space="preserve">Таблица </w:t>
      </w:r>
      <w:r w:rsidR="00D053ED">
        <w:rPr>
          <w:rFonts w:ascii="Times New Roman" w:hAnsi="Times New Roman"/>
          <w:sz w:val="30"/>
          <w:szCs w:val="30"/>
        </w:rPr>
        <w:t>4</w:t>
      </w:r>
    </w:p>
    <w:p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F44C7F" w:rsidRPr="005A2948" w:rsidTr="008951D6">
        <w:trPr>
          <w:trHeight w:val="685"/>
        </w:trPr>
        <w:tc>
          <w:tcPr>
            <w:tcW w:w="8080" w:type="dxa"/>
            <w:shd w:val="clear" w:color="auto" w:fill="auto"/>
          </w:tcPr>
          <w:p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Кол-во заболевших</w:t>
            </w:r>
          </w:p>
        </w:tc>
      </w:tr>
      <w:tr w:rsidR="00F44C7F" w:rsidRPr="005A2948" w:rsidTr="00614261">
        <w:trPr>
          <w:trHeight w:val="340"/>
        </w:trPr>
        <w:tc>
          <w:tcPr>
            <w:tcW w:w="8080" w:type="dxa"/>
            <w:shd w:val="clear" w:color="auto" w:fill="auto"/>
          </w:tcPr>
          <w:p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rsidTr="00614261">
        <w:trPr>
          <w:trHeight w:val="340"/>
        </w:trPr>
        <w:tc>
          <w:tcPr>
            <w:tcW w:w="8080" w:type="dxa"/>
            <w:shd w:val="clear" w:color="auto" w:fill="auto"/>
          </w:tcPr>
          <w:p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rsidTr="00614261">
        <w:trPr>
          <w:trHeight w:val="340"/>
        </w:trPr>
        <w:tc>
          <w:tcPr>
            <w:tcW w:w="8080" w:type="dxa"/>
            <w:shd w:val="clear" w:color="auto" w:fill="auto"/>
          </w:tcPr>
          <w:p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rsidTr="00614261">
        <w:trPr>
          <w:trHeight w:val="340"/>
        </w:trPr>
        <w:tc>
          <w:tcPr>
            <w:tcW w:w="8080" w:type="dxa"/>
            <w:shd w:val="clear" w:color="auto" w:fill="auto"/>
          </w:tcPr>
          <w:p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t>Обрабатывающая промышленность</w:t>
            </w:r>
          </w:p>
        </w:tc>
        <w:tc>
          <w:tcPr>
            <w:tcW w:w="1559" w:type="dxa"/>
            <w:shd w:val="clear" w:color="auto" w:fill="auto"/>
            <w:vAlign w:val="center"/>
          </w:tcPr>
          <w:p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rsidTr="00614261">
        <w:trPr>
          <w:trHeight w:val="340"/>
        </w:trPr>
        <w:tc>
          <w:tcPr>
            <w:tcW w:w="8080" w:type="dxa"/>
            <w:shd w:val="clear" w:color="auto" w:fill="auto"/>
          </w:tcPr>
          <w:p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rsidR="00EE1E9D" w:rsidRPr="00DC6581" w:rsidRDefault="00EE1E9D" w:rsidP="00DA1F4B">
      <w:pPr>
        <w:ind w:firstLine="709"/>
        <w:jc w:val="both"/>
        <w:rPr>
          <w:rFonts w:ascii="Times New Roman" w:hAnsi="Times New Roman"/>
          <w:sz w:val="20"/>
          <w:szCs w:val="20"/>
          <w:highlight w:val="yellow"/>
        </w:rPr>
      </w:pPr>
    </w:p>
    <w:p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 xml:space="preserve">В 2024 году впервые </w:t>
      </w:r>
      <w:proofErr w:type="spellStart"/>
      <w:r w:rsidRPr="005A2948">
        <w:rPr>
          <w:rFonts w:ascii="Times New Roman" w:hAnsi="Times New Roman"/>
          <w:sz w:val="30"/>
          <w:szCs w:val="30"/>
        </w:rPr>
        <w:t>установленыпроценты</w:t>
      </w:r>
      <w:proofErr w:type="spellEnd"/>
      <w:r w:rsidRPr="005A2948">
        <w:rPr>
          <w:rFonts w:ascii="Times New Roman" w:hAnsi="Times New Roman"/>
          <w:sz w:val="30"/>
          <w:szCs w:val="30"/>
        </w:rPr>
        <w:t xml:space="preserve">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firstRow="1" w:lastRow="0" w:firstColumn="1" w:lastColumn="0" w:noHBand="0" w:noVBand="1"/>
      </w:tblPr>
      <w:tblGrid>
        <w:gridCol w:w="2518"/>
        <w:gridCol w:w="2126"/>
        <w:gridCol w:w="1560"/>
        <w:gridCol w:w="2146"/>
        <w:gridCol w:w="1504"/>
      </w:tblGrid>
      <w:tr w:rsidR="002F4C6E" w:rsidRPr="005A2948" w:rsidTr="00DC6581">
        <w:tc>
          <w:tcPr>
            <w:tcW w:w="2518" w:type="dxa"/>
            <w:vMerge w:val="restart"/>
            <w:vAlign w:val="center"/>
          </w:tcPr>
          <w:p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rsidTr="00DC6581">
        <w:tc>
          <w:tcPr>
            <w:tcW w:w="2518" w:type="dxa"/>
            <w:vMerge/>
            <w:vAlign w:val="center"/>
          </w:tcPr>
          <w:p w:rsidR="002F4C6E" w:rsidRPr="00DC6581" w:rsidRDefault="002F4C6E" w:rsidP="002F4C6E">
            <w:pPr>
              <w:jc w:val="left"/>
              <w:rPr>
                <w:rFonts w:ascii="Times New Roman" w:hAnsi="Times New Roman"/>
                <w:b/>
                <w:sz w:val="24"/>
                <w:szCs w:val="24"/>
              </w:rPr>
            </w:pPr>
          </w:p>
        </w:tc>
        <w:tc>
          <w:tcPr>
            <w:tcW w:w="2126" w:type="dxa"/>
          </w:tcPr>
          <w:p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rsidTr="00DC6581">
        <w:tc>
          <w:tcPr>
            <w:tcW w:w="2518" w:type="dxa"/>
            <w:vAlign w:val="center"/>
          </w:tcPr>
          <w:p w:rsidR="00D36C51" w:rsidRPr="00DC6581" w:rsidRDefault="00D36C51" w:rsidP="00DC6581">
            <w:pPr>
              <w:jc w:val="left"/>
              <w:rPr>
                <w:rFonts w:ascii="Times New Roman" w:hAnsi="Times New Roman"/>
                <w:sz w:val="24"/>
                <w:szCs w:val="24"/>
              </w:rPr>
            </w:pPr>
            <w:proofErr w:type="spellStart"/>
            <w:r w:rsidRPr="00DC6581">
              <w:rPr>
                <w:rFonts w:ascii="Times New Roman" w:hAnsi="Times New Roman"/>
                <w:sz w:val="24"/>
                <w:szCs w:val="24"/>
              </w:rPr>
              <w:t>РеспубликаБеларусь</w:t>
            </w:r>
            <w:proofErr w:type="spellEnd"/>
          </w:p>
        </w:tc>
        <w:tc>
          <w:tcPr>
            <w:tcW w:w="2126" w:type="dxa"/>
            <w:vAlign w:val="center"/>
          </w:tcPr>
          <w:p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t xml:space="preserve">При анализе профессиональных заболеваний по этиологическим факторам определено, что 80 процентов заболеваний возникли по причине </w:t>
      </w:r>
      <w:r w:rsidRPr="005A2948">
        <w:rPr>
          <w:rFonts w:ascii="Times New Roman" w:hAnsi="Times New Roman"/>
          <w:sz w:val="30"/>
          <w:szCs w:val="30"/>
        </w:rPr>
        <w:lastRenderedPageBreak/>
        <w:t>воздействия промышленных аэрозолей, 20 процентов – физических факторов.</w:t>
      </w:r>
    </w:p>
    <w:p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p>
    <w:p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 xml:space="preserve">По данным Департамента государственной инспекции </w:t>
      </w:r>
      <w:proofErr w:type="spellStart"/>
      <w:r w:rsidRPr="005A2948">
        <w:rPr>
          <w:rFonts w:ascii="Times New Roman" w:hAnsi="Times New Roman"/>
          <w:color w:val="000000"/>
          <w:sz w:val="30"/>
          <w:szCs w:val="30"/>
        </w:rPr>
        <w:t>трудав</w:t>
      </w:r>
      <w:proofErr w:type="spellEnd"/>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травмированных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proofErr w:type="spellStart"/>
      <w:r w:rsidRPr="005A2948">
        <w:rPr>
          <w:rFonts w:ascii="Times New Roman" w:hAnsi="Times New Roman"/>
          <w:i/>
          <w:color w:val="000000"/>
          <w:sz w:val="28"/>
          <w:szCs w:val="28"/>
        </w:rPr>
        <w:t>Справочно</w:t>
      </w:r>
      <w:proofErr w:type="spellEnd"/>
      <w:r w:rsidRPr="005A2948">
        <w:rPr>
          <w:rFonts w:ascii="Times New Roman" w:hAnsi="Times New Roman"/>
          <w:i/>
          <w:color w:val="000000"/>
          <w:sz w:val="28"/>
          <w:szCs w:val="28"/>
        </w:rPr>
        <w:t xml:space="preserve">.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Кроме того, Департаментом вскрыты 16 фактов </w:t>
      </w:r>
      <w:proofErr w:type="spellStart"/>
      <w:r w:rsidRPr="005A2948">
        <w:rPr>
          <w:rFonts w:ascii="Times New Roman" w:hAnsi="Times New Roman"/>
          <w:i/>
          <w:color w:val="000000"/>
          <w:sz w:val="28"/>
          <w:szCs w:val="28"/>
        </w:rPr>
        <w:t>травмирования</w:t>
      </w:r>
      <w:proofErr w:type="spellEnd"/>
      <w:r w:rsidRPr="005A2948">
        <w:rPr>
          <w:rFonts w:ascii="Times New Roman" w:hAnsi="Times New Roman"/>
          <w:i/>
          <w:color w:val="000000"/>
          <w:sz w:val="28"/>
          <w:szCs w:val="28"/>
        </w:rPr>
        <w:t xml:space="preserve"> граждан, допущенных к выполнению работ                              без оформления трудовых отношений. По требованию Департамента данные случаи квалифицированы как производственные.</w:t>
      </w:r>
    </w:p>
    <w:p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w:t>
      </w:r>
      <w:proofErr w:type="gramStart"/>
      <w:r w:rsidRPr="005A2948">
        <w:rPr>
          <w:rFonts w:ascii="Times New Roman" w:hAnsi="Times New Roman"/>
          <w:sz w:val="30"/>
          <w:szCs w:val="30"/>
        </w:rPr>
        <w:t>2023  годом</w:t>
      </w:r>
      <w:proofErr w:type="gramEnd"/>
      <w:r w:rsidRPr="005A2948">
        <w:rPr>
          <w:rFonts w:ascii="Times New Roman" w:hAnsi="Times New Roman"/>
          <w:sz w:val="30"/>
          <w:szCs w:val="30"/>
        </w:rPr>
        <w:t xml:space="preserve">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F279A1" w:rsidRPr="00C71385" w:rsidTr="00396FA2">
        <w:tc>
          <w:tcPr>
            <w:tcW w:w="2835" w:type="dxa"/>
            <w:vMerge w:val="restart"/>
          </w:tcPr>
          <w:p w:rsidR="00F279A1" w:rsidRPr="00C71385" w:rsidRDefault="00F279A1" w:rsidP="00042243">
            <w:pPr>
              <w:pStyle w:val="a7"/>
              <w:spacing w:after="0"/>
              <w:ind w:left="0"/>
              <w:rPr>
                <w:rFonts w:ascii="Times New Roman" w:hAnsi="Times New Roman"/>
                <w:sz w:val="24"/>
                <w:szCs w:val="24"/>
              </w:rPr>
            </w:pPr>
          </w:p>
        </w:tc>
        <w:tc>
          <w:tcPr>
            <w:tcW w:w="2268" w:type="dxa"/>
            <w:gridSpan w:val="2"/>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rsidTr="00396FA2">
        <w:tc>
          <w:tcPr>
            <w:tcW w:w="2835" w:type="dxa"/>
            <w:vMerge/>
          </w:tcPr>
          <w:p w:rsidR="00360F5A" w:rsidRPr="00C71385" w:rsidRDefault="00360F5A" w:rsidP="00042243">
            <w:pPr>
              <w:pStyle w:val="a7"/>
              <w:spacing w:after="0"/>
              <w:ind w:left="0"/>
              <w:rPr>
                <w:rFonts w:ascii="Times New Roman" w:hAnsi="Times New Roman"/>
                <w:sz w:val="24"/>
                <w:szCs w:val="24"/>
              </w:rPr>
            </w:pPr>
          </w:p>
        </w:tc>
        <w:tc>
          <w:tcPr>
            <w:tcW w:w="1134" w:type="dxa"/>
          </w:tcPr>
          <w:p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rsidR="00360F5A" w:rsidRPr="00C71385" w:rsidRDefault="00360F5A" w:rsidP="00F279A1">
            <w:pPr>
              <w:pStyle w:val="a7"/>
              <w:spacing w:after="0"/>
              <w:ind w:left="-108" w:right="-108"/>
              <w:rPr>
                <w:rFonts w:ascii="Times New Roman" w:hAnsi="Times New Roman"/>
                <w:sz w:val="24"/>
                <w:szCs w:val="24"/>
              </w:rPr>
            </w:pPr>
          </w:p>
        </w:tc>
        <w:tc>
          <w:tcPr>
            <w:tcW w:w="1134" w:type="dxa"/>
          </w:tcPr>
          <w:p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rsidTr="00396FA2">
        <w:trPr>
          <w:trHeight w:val="441"/>
        </w:trPr>
        <w:tc>
          <w:tcPr>
            <w:tcW w:w="2835" w:type="dxa"/>
            <w:vAlign w:val="center"/>
          </w:tcPr>
          <w:p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rsidTr="006B52E7">
        <w:tc>
          <w:tcPr>
            <w:tcW w:w="2835" w:type="dxa"/>
            <w:vAlign w:val="center"/>
          </w:tcPr>
          <w:p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rsidTr="006B52E7">
        <w:tc>
          <w:tcPr>
            <w:tcW w:w="2835" w:type="dxa"/>
            <w:vAlign w:val="center"/>
          </w:tcPr>
          <w:p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rsidTr="006B52E7">
        <w:tc>
          <w:tcPr>
            <w:tcW w:w="2835" w:type="dxa"/>
            <w:vAlign w:val="center"/>
          </w:tcPr>
          <w:p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rsidTr="006B52E7">
        <w:tc>
          <w:tcPr>
            <w:tcW w:w="2835" w:type="dxa"/>
            <w:vAlign w:val="center"/>
          </w:tcPr>
          <w:p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rsidTr="006B52E7">
        <w:tc>
          <w:tcPr>
            <w:tcW w:w="2835" w:type="dxa"/>
            <w:vAlign w:val="center"/>
          </w:tcPr>
          <w:p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rsidTr="006B52E7">
        <w:tc>
          <w:tcPr>
            <w:tcW w:w="2835" w:type="dxa"/>
            <w:vAlign w:val="center"/>
          </w:tcPr>
          <w:p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rsidTr="006B52E7">
        <w:tc>
          <w:tcPr>
            <w:tcW w:w="2835" w:type="dxa"/>
            <w:vAlign w:val="center"/>
          </w:tcPr>
          <w:p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proofErr w:type="gramStart"/>
      <w:r w:rsidR="00E93D51" w:rsidRPr="00A2182D">
        <w:rPr>
          <w:rFonts w:ascii="Times New Roman" w:hAnsi="Times New Roman"/>
          <w:sz w:val="30"/>
          <w:szCs w:val="30"/>
        </w:rPr>
        <w:t>)</w:t>
      </w:r>
      <w:r w:rsidR="00423675" w:rsidRPr="00A2182D">
        <w:rPr>
          <w:rFonts w:ascii="Times New Roman" w:hAnsi="Times New Roman"/>
          <w:sz w:val="30"/>
          <w:szCs w:val="30"/>
        </w:rPr>
        <w:t>.</w:t>
      </w:r>
      <w:r w:rsidRPr="006051FD">
        <w:rPr>
          <w:rFonts w:ascii="Times New Roman" w:hAnsi="Times New Roman"/>
          <w:sz w:val="30"/>
          <w:szCs w:val="30"/>
        </w:rPr>
        <w:t>Из</w:t>
      </w:r>
      <w:proofErr w:type="gramEnd"/>
      <w:r w:rsidRPr="006051FD">
        <w:rPr>
          <w:rFonts w:ascii="Times New Roman" w:hAnsi="Times New Roman"/>
          <w:sz w:val="30"/>
          <w:szCs w:val="30"/>
        </w:rPr>
        <w:t xml:space="preserve"> 105 работающих, погибших на </w:t>
      </w:r>
      <w:r w:rsidRPr="006051FD">
        <w:rPr>
          <w:rFonts w:ascii="Times New Roman" w:hAnsi="Times New Roman"/>
          <w:sz w:val="30"/>
          <w:szCs w:val="30"/>
        </w:rPr>
        <w:lastRenderedPageBreak/>
        <w:t>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xml:space="preserve">, коэффициент частоты смертельного </w:t>
      </w:r>
      <w:proofErr w:type="spellStart"/>
      <w:r w:rsidRPr="006051FD">
        <w:rPr>
          <w:rFonts w:ascii="Times New Roman" w:hAnsi="Times New Roman"/>
          <w:sz w:val="30"/>
          <w:szCs w:val="30"/>
        </w:rPr>
        <w:t>травмирования</w:t>
      </w:r>
      <w:proofErr w:type="spellEnd"/>
      <w:r w:rsidR="00E93D51">
        <w:rPr>
          <w:rFonts w:ascii="Times New Roman" w:hAnsi="Times New Roman"/>
          <w:sz w:val="30"/>
          <w:szCs w:val="30"/>
        </w:rPr>
        <w:t xml:space="preserve"> – </w:t>
      </w:r>
      <w:r w:rsidR="00811172" w:rsidRPr="006051FD">
        <w:rPr>
          <w:rFonts w:ascii="Times New Roman" w:hAnsi="Times New Roman"/>
          <w:sz w:val="30"/>
          <w:szCs w:val="30"/>
        </w:rPr>
        <w:t>2,9</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A31556" w:rsidRPr="00C71385"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rsidR="0095420F" w:rsidRDefault="0095420F" w:rsidP="0095420F">
      <w:pPr>
        <w:ind w:firstLine="720"/>
        <w:jc w:val="both"/>
        <w:rPr>
          <w:rFonts w:ascii="Times New Roman" w:hAnsi="Times New Roman"/>
          <w:sz w:val="30"/>
          <w:szCs w:val="30"/>
        </w:rPr>
      </w:pPr>
    </w:p>
    <w:p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w:t>
      </w:r>
      <w:proofErr w:type="spellStart"/>
      <w:r>
        <w:rPr>
          <w:rFonts w:ascii="Times New Roman" w:hAnsi="Times New Roman"/>
          <w:sz w:val="30"/>
          <w:szCs w:val="30"/>
        </w:rPr>
        <w:t>травмирования</w:t>
      </w:r>
      <w:proofErr w:type="spellEnd"/>
      <w:r>
        <w:rPr>
          <w:rFonts w:ascii="Times New Roman" w:hAnsi="Times New Roman"/>
          <w:sz w:val="30"/>
          <w:szCs w:val="30"/>
        </w:rPr>
        <w:t xml:space="preserve"> работников на производстве отмечается в организациях промышленности, сельского хозяйства, строительства и транспортной деятельности. </w:t>
      </w:r>
    </w:p>
    <w:p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rsidR="0095420F" w:rsidRPr="0095420F" w:rsidRDefault="0095420F" w:rsidP="0095420F">
      <w:pPr>
        <w:ind w:firstLine="720"/>
        <w:jc w:val="both"/>
        <w:rPr>
          <w:rFonts w:ascii="Times New Roman" w:hAnsi="Times New Roman"/>
          <w:sz w:val="30"/>
          <w:szCs w:val="30"/>
        </w:rPr>
      </w:pPr>
      <w:r w:rsidRPr="0095420F">
        <w:rPr>
          <w:rFonts w:ascii="Times New Roman" w:hAnsi="Times New Roman"/>
          <w:sz w:val="30"/>
          <w:szCs w:val="30"/>
        </w:rPr>
        <w:t xml:space="preserve">При этом самые высокие коэффициенты частоты </w:t>
      </w:r>
      <w:proofErr w:type="spellStart"/>
      <w:r w:rsidRPr="0095420F">
        <w:rPr>
          <w:rFonts w:ascii="Times New Roman" w:hAnsi="Times New Roman"/>
          <w:sz w:val="30"/>
          <w:szCs w:val="30"/>
        </w:rPr>
        <w:t>травмирования</w:t>
      </w:r>
      <w:proofErr w:type="spellEnd"/>
      <w:r w:rsidRPr="0095420F">
        <w:rPr>
          <w:rFonts w:ascii="Times New Roman" w:hAnsi="Times New Roman"/>
          <w:sz w:val="30"/>
          <w:szCs w:val="30"/>
        </w:rPr>
        <w:br/>
        <w:t xml:space="preserve">и гибели работающих отмечены в таких видах экономической деятельности как </w:t>
      </w:r>
      <w:proofErr w:type="spellStart"/>
      <w:r w:rsidRPr="0095420F">
        <w:rPr>
          <w:rFonts w:ascii="Times New Roman" w:hAnsi="Times New Roman"/>
          <w:sz w:val="30"/>
          <w:szCs w:val="30"/>
        </w:rPr>
        <w:t>растениеводствои</w:t>
      </w:r>
      <w:proofErr w:type="spellEnd"/>
      <w:r w:rsidRPr="0095420F">
        <w:rPr>
          <w:rFonts w:ascii="Times New Roman" w:hAnsi="Times New Roman"/>
          <w:sz w:val="30"/>
          <w:szCs w:val="30"/>
        </w:rPr>
        <w:t xml:space="preserve">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0F2EC9">
        <w:rPr>
          <w:rFonts w:ascii="Times New Roman" w:hAnsi="Times New Roman"/>
          <w:sz w:val="28"/>
          <w:szCs w:val="28"/>
        </w:rPr>
        <w:t>8</w:t>
      </w:r>
    </w:p>
    <w:p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1276"/>
        <w:gridCol w:w="1181"/>
        <w:gridCol w:w="1380"/>
      </w:tblGrid>
      <w:tr w:rsidR="002C46E6" w:rsidRPr="000F2EC9"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rsidTr="00896238">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A31556" w:rsidRPr="000F2EC9" w:rsidTr="00CB6989">
        <w:trPr>
          <w:trHeight w:val="501"/>
        </w:trPr>
        <w:tc>
          <w:tcPr>
            <w:tcW w:w="4253" w:type="dxa"/>
            <w:vMerge w:val="restart"/>
            <w:shd w:val="clear" w:color="auto" w:fill="auto"/>
          </w:tcPr>
          <w:p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rsidTr="00CB6989">
        <w:trPr>
          <w:trHeight w:val="370"/>
        </w:trPr>
        <w:tc>
          <w:tcPr>
            <w:tcW w:w="4253" w:type="dxa"/>
            <w:vMerge/>
            <w:shd w:val="clear" w:color="auto" w:fill="auto"/>
          </w:tcPr>
          <w:p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rsidTr="00CB6989">
        <w:trPr>
          <w:trHeight w:val="319"/>
        </w:trPr>
        <w:tc>
          <w:tcPr>
            <w:tcW w:w="4253" w:type="dxa"/>
            <w:vMerge/>
            <w:shd w:val="clear" w:color="auto" w:fill="auto"/>
          </w:tcPr>
          <w:p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rsidTr="005F1808">
        <w:trPr>
          <w:trHeight w:val="531"/>
        </w:trPr>
        <w:tc>
          <w:tcPr>
            <w:tcW w:w="4253" w:type="dxa"/>
            <w:shd w:val="clear" w:color="auto" w:fill="auto"/>
            <w:vAlign w:val="center"/>
          </w:tcPr>
          <w:p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rsidTr="00896238">
        <w:trPr>
          <w:trHeight w:val="513"/>
        </w:trPr>
        <w:tc>
          <w:tcPr>
            <w:tcW w:w="4253" w:type="dxa"/>
            <w:shd w:val="clear" w:color="auto" w:fill="auto"/>
            <w:vAlign w:val="center"/>
          </w:tcPr>
          <w:p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rsidTr="00896238">
        <w:trPr>
          <w:trHeight w:val="451"/>
        </w:trPr>
        <w:tc>
          <w:tcPr>
            <w:tcW w:w="4253" w:type="dxa"/>
            <w:shd w:val="clear" w:color="auto" w:fill="auto"/>
            <w:vAlign w:val="center"/>
          </w:tcPr>
          <w:p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rsidTr="00396FA2">
        <w:trPr>
          <w:trHeight w:val="572"/>
        </w:trPr>
        <w:tc>
          <w:tcPr>
            <w:tcW w:w="4253" w:type="dxa"/>
            <w:shd w:val="clear" w:color="auto" w:fill="auto"/>
            <w:vAlign w:val="center"/>
          </w:tcPr>
          <w:p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rsidR="002C46E6" w:rsidRDefault="002C46E6" w:rsidP="003B1420">
      <w:pPr>
        <w:ind w:firstLine="720"/>
        <w:jc w:val="both"/>
        <w:rPr>
          <w:rFonts w:ascii="Times New Roman" w:hAnsi="Times New Roman"/>
          <w:sz w:val="30"/>
          <w:szCs w:val="30"/>
        </w:rPr>
      </w:pPr>
      <w:r w:rsidRPr="003D6DD3">
        <w:rPr>
          <w:rFonts w:ascii="Times New Roman" w:hAnsi="Times New Roman"/>
          <w:sz w:val="30"/>
          <w:szCs w:val="30"/>
        </w:rPr>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 xml:space="preserve">на производстве, составили работающие организаций </w:t>
      </w:r>
      <w:r w:rsidRPr="003D6DD3">
        <w:rPr>
          <w:rFonts w:ascii="Times New Roman" w:hAnsi="Times New Roman"/>
          <w:sz w:val="30"/>
          <w:szCs w:val="30"/>
        </w:rPr>
        <w:lastRenderedPageBreak/>
        <w:t xml:space="preserve">коммунальной формы </w:t>
      </w:r>
      <w:proofErr w:type="spellStart"/>
      <w:r w:rsidRPr="003D6DD3">
        <w:rPr>
          <w:rFonts w:ascii="Times New Roman" w:hAnsi="Times New Roman"/>
          <w:sz w:val="30"/>
          <w:szCs w:val="30"/>
        </w:rPr>
        <w:t>собственности</w:t>
      </w:r>
      <w:r w:rsidR="000F2EC9">
        <w:rPr>
          <w:rFonts w:ascii="Times New Roman" w:hAnsi="Times New Roman"/>
          <w:sz w:val="30"/>
          <w:szCs w:val="30"/>
        </w:rPr>
        <w:t>.В</w:t>
      </w:r>
      <w:proofErr w:type="spellEnd"/>
      <w:r w:rsidR="000F2EC9">
        <w:rPr>
          <w:rFonts w:ascii="Times New Roman" w:hAnsi="Times New Roman"/>
          <w:sz w:val="30"/>
          <w:szCs w:val="30"/>
        </w:rPr>
        <w:t xml:space="preserve">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w:t>
      </w:r>
      <w:proofErr w:type="spellStart"/>
      <w:r w:rsidR="006557F4" w:rsidRPr="003D6DD3">
        <w:rPr>
          <w:rFonts w:ascii="Times New Roman" w:hAnsi="Times New Roman"/>
          <w:sz w:val="30"/>
          <w:szCs w:val="30"/>
        </w:rPr>
        <w:t>погибших</w:t>
      </w:r>
      <w:r w:rsidRPr="003D6DD3">
        <w:rPr>
          <w:rFonts w:ascii="Times New Roman" w:hAnsi="Times New Roman"/>
          <w:sz w:val="30"/>
          <w:szCs w:val="30"/>
        </w:rPr>
        <w:t>на</w:t>
      </w:r>
      <w:proofErr w:type="spellEnd"/>
      <w:r w:rsidRPr="003D6DD3">
        <w:rPr>
          <w:rFonts w:ascii="Times New Roman" w:hAnsi="Times New Roman"/>
          <w:sz w:val="30"/>
          <w:szCs w:val="30"/>
        </w:rPr>
        <w:t xml:space="preserve"> производстве – работающие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p>
    <w:p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r w:rsidR="001E46BC">
        <w:rPr>
          <w:rFonts w:ascii="Times New Roman" w:hAnsi="Times New Roman"/>
          <w:sz w:val="30"/>
          <w:szCs w:val="30"/>
        </w:rPr>
        <w:t xml:space="preserve"> </w:t>
      </w:r>
      <w:proofErr w:type="gramStart"/>
      <w:r w:rsidR="001E46BC">
        <w:rPr>
          <w:rFonts w:ascii="Times New Roman" w:hAnsi="Times New Roman"/>
          <w:sz w:val="30"/>
          <w:szCs w:val="30"/>
        </w:rPr>
        <w:t>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proofErr w:type="gramEnd"/>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до </w:t>
      </w:r>
      <w:r w:rsidR="00132746" w:rsidRPr="003D6DD3">
        <w:rPr>
          <w:rFonts w:ascii="Times New Roman" w:hAnsi="Times New Roman"/>
          <w:sz w:val="30"/>
          <w:szCs w:val="30"/>
        </w:rPr>
        <w:t>55</w:t>
      </w:r>
      <w:r w:rsidR="001E46BC">
        <w:rPr>
          <w:rFonts w:ascii="Times New Roman" w:hAnsi="Times New Roman"/>
          <w:sz w:val="30"/>
          <w:szCs w:val="30"/>
        </w:rPr>
        <w:t>.</w:t>
      </w:r>
    </w:p>
    <w:p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 xml:space="preserve">производственного </w:t>
      </w:r>
      <w:proofErr w:type="spellStart"/>
      <w:r w:rsidR="003D6DD3" w:rsidRPr="00BF6F01">
        <w:rPr>
          <w:rFonts w:ascii="Times New Roman" w:hAnsi="Times New Roman"/>
          <w:sz w:val="30"/>
          <w:szCs w:val="30"/>
        </w:rPr>
        <w:t>травматизма</w:t>
      </w:r>
      <w:r>
        <w:rPr>
          <w:rFonts w:ascii="Times New Roman" w:hAnsi="Times New Roman"/>
          <w:sz w:val="30"/>
          <w:szCs w:val="30"/>
        </w:rPr>
        <w:t>показывает</w:t>
      </w:r>
      <w:proofErr w:type="spellEnd"/>
      <w:r>
        <w:rPr>
          <w:rFonts w:ascii="Times New Roman" w:hAnsi="Times New Roman"/>
          <w:sz w:val="30"/>
          <w:szCs w:val="30"/>
        </w:rPr>
        <w:t xml:space="preserve">,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proofErr w:type="gramStart"/>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w:t>
      </w:r>
      <w:proofErr w:type="gramEnd"/>
      <w:r w:rsidR="002C46E6" w:rsidRPr="001E46BC">
        <w:rPr>
          <w:rFonts w:ascii="Times New Roman" w:hAnsi="Times New Roman"/>
          <w:sz w:val="28"/>
          <w:szCs w:val="28"/>
        </w:rPr>
        <w:t xml:space="preserve"> в результате несчастных случаев на производстве </w:t>
      </w:r>
      <w:r w:rsidRPr="001E46BC">
        <w:rPr>
          <w:rFonts w:ascii="Times New Roman" w:hAnsi="Times New Roman"/>
          <w:sz w:val="28"/>
          <w:szCs w:val="28"/>
        </w:rPr>
        <w:t>в 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2C46E6" w:rsidRPr="001E46BC" w:rsidTr="00396FA2">
        <w:tc>
          <w:tcPr>
            <w:tcW w:w="2977" w:type="dxa"/>
            <w:vMerge w:val="restart"/>
            <w:tcBorders>
              <w:top w:val="single" w:sz="4" w:space="0" w:color="auto"/>
              <w:left w:val="single" w:sz="4" w:space="0" w:color="auto"/>
              <w:bottom w:val="single" w:sz="4" w:space="0" w:color="auto"/>
              <w:right w:val="single" w:sz="4" w:space="0" w:color="auto"/>
            </w:tcBorders>
          </w:tcPr>
          <w:p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w:t>
      </w:r>
      <w:proofErr w:type="spellStart"/>
      <w:r w:rsidRPr="00BF6F01">
        <w:rPr>
          <w:rFonts w:ascii="Times New Roman" w:hAnsi="Times New Roman"/>
          <w:sz w:val="30"/>
          <w:szCs w:val="30"/>
        </w:rPr>
        <w:t>травмирования</w:t>
      </w:r>
      <w:proofErr w:type="spellEnd"/>
      <w:r w:rsidRPr="00BF6F01">
        <w:rPr>
          <w:rFonts w:ascii="Times New Roman" w:hAnsi="Times New Roman"/>
          <w:sz w:val="30"/>
          <w:szCs w:val="30"/>
        </w:rPr>
        <w:t xml:space="preserve">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 xml:space="preserve">Удельный вес происшествий, повлекших </w:t>
      </w:r>
      <w:proofErr w:type="spellStart"/>
      <w:r w:rsidRPr="001E46BC">
        <w:rPr>
          <w:rFonts w:ascii="Times New Roman" w:hAnsi="Times New Roman"/>
          <w:sz w:val="28"/>
          <w:szCs w:val="28"/>
        </w:rPr>
        <w:t>травмирование</w:t>
      </w:r>
      <w:proofErr w:type="spellEnd"/>
      <w:r w:rsidRPr="001E46BC">
        <w:rPr>
          <w:rFonts w:ascii="Times New Roman" w:hAnsi="Times New Roman"/>
          <w:sz w:val="28"/>
          <w:szCs w:val="28"/>
        </w:rPr>
        <w:t xml:space="preserve">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2C46E6" w:rsidRPr="001E46BC"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rsidTr="00396FA2">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proofErr w:type="gramStart"/>
      <w:r w:rsidRPr="004269CD">
        <w:rPr>
          <w:rFonts w:ascii="Times New Roman" w:hAnsi="Times New Roman"/>
          <w:sz w:val="30"/>
          <w:szCs w:val="30"/>
        </w:rPr>
        <w:t>).</w:t>
      </w:r>
      <w:r w:rsidR="00201772" w:rsidRPr="004269CD">
        <w:rPr>
          <w:rFonts w:ascii="Times New Roman" w:hAnsi="Times New Roman"/>
          <w:noProof/>
          <w:sz w:val="30"/>
          <w:szCs w:val="30"/>
          <w:lang w:eastAsia="ru-RU"/>
        </w:rPr>
        <w:t>При</w:t>
      </w:r>
      <w:proofErr w:type="gramEnd"/>
      <w:r w:rsidR="00201772" w:rsidRPr="004269CD">
        <w:rPr>
          <w:rFonts w:ascii="Times New Roman" w:hAnsi="Times New Roman"/>
          <w:noProof/>
          <w:sz w:val="30"/>
          <w:szCs w:val="30"/>
          <w:lang w:eastAsia="ru-RU"/>
        </w:rPr>
        <w:t xml:space="preserve">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p>
    <w:p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rsidR="002C46E6" w:rsidRPr="00F113BC" w:rsidRDefault="002C46E6" w:rsidP="007F36F8">
      <w:pPr>
        <w:suppressAutoHyphens/>
        <w:spacing w:after="240"/>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B411C5" w:rsidRPr="00F113BC"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опасногои (или) вредного производственного 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w:t>
      </w:r>
      <w:proofErr w:type="spellStart"/>
      <w:r w:rsidR="00201772" w:rsidRPr="004C6C69">
        <w:rPr>
          <w:rFonts w:ascii="Times New Roman" w:hAnsi="Times New Roman"/>
          <w:sz w:val="30"/>
          <w:szCs w:val="30"/>
        </w:rPr>
        <w:t>трудовойи</w:t>
      </w:r>
      <w:proofErr w:type="spellEnd"/>
      <w:r w:rsidR="00201772" w:rsidRPr="004C6C69">
        <w:rPr>
          <w:rFonts w:ascii="Times New Roman" w:hAnsi="Times New Roman"/>
          <w:sz w:val="30"/>
          <w:szCs w:val="30"/>
        </w:rPr>
        <w:t xml:space="preserve"> производственной дисциплины, инструкций по охране труда, нахождение их в состоянии алкогольного опьянения.</w:t>
      </w:r>
    </w:p>
    <w:p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w:t>
      </w:r>
      <w:proofErr w:type="spellStart"/>
      <w:r w:rsidR="00201772" w:rsidRPr="00201772">
        <w:rPr>
          <w:rFonts w:ascii="Times New Roman" w:hAnsi="Times New Roman"/>
          <w:sz w:val="30"/>
          <w:szCs w:val="30"/>
        </w:rPr>
        <w:t>травмированияв</w:t>
      </w:r>
      <w:proofErr w:type="spellEnd"/>
      <w:r w:rsidR="00201772" w:rsidRPr="00201772">
        <w:rPr>
          <w:rFonts w:ascii="Times New Roman" w:hAnsi="Times New Roman"/>
          <w:sz w:val="30"/>
          <w:szCs w:val="30"/>
        </w:rPr>
        <w:t xml:space="preserve"> состоянии алкогольного опьянения, возросло с 55 до 68 </w:t>
      </w:r>
      <w:proofErr w:type="spellStart"/>
      <w:r w:rsidR="00201772" w:rsidRPr="00201772">
        <w:rPr>
          <w:rFonts w:ascii="Times New Roman" w:hAnsi="Times New Roman"/>
          <w:sz w:val="30"/>
          <w:szCs w:val="30"/>
        </w:rPr>
        <w:t>человеки</w:t>
      </w:r>
      <w:proofErr w:type="spellEnd"/>
      <w:r w:rsidR="00201772" w:rsidRPr="00201772">
        <w:rPr>
          <w:rFonts w:ascii="Times New Roman" w:hAnsi="Times New Roman"/>
          <w:sz w:val="30"/>
          <w:szCs w:val="30"/>
        </w:rPr>
        <w:t xml:space="preserve"> составило 3,8 процента от общего числа </w:t>
      </w:r>
      <w:proofErr w:type="spellStart"/>
      <w:r w:rsidR="00201772" w:rsidRPr="00201772">
        <w:rPr>
          <w:rFonts w:ascii="Times New Roman" w:hAnsi="Times New Roman"/>
          <w:sz w:val="30"/>
          <w:szCs w:val="30"/>
        </w:rPr>
        <w:t>травмированныхна</w:t>
      </w:r>
      <w:proofErr w:type="spellEnd"/>
      <w:r w:rsidR="00201772" w:rsidRPr="00201772">
        <w:rPr>
          <w:rFonts w:ascii="Times New Roman" w:hAnsi="Times New Roman"/>
          <w:sz w:val="30"/>
          <w:szCs w:val="30"/>
        </w:rPr>
        <w:t xml:space="preserve"> производстве. Среди погибших на </w:t>
      </w:r>
      <w:proofErr w:type="spellStart"/>
      <w:r w:rsidR="00201772" w:rsidRPr="00201772">
        <w:rPr>
          <w:rFonts w:ascii="Times New Roman" w:hAnsi="Times New Roman"/>
          <w:sz w:val="30"/>
          <w:szCs w:val="30"/>
        </w:rPr>
        <w:t>производствев</w:t>
      </w:r>
      <w:proofErr w:type="spellEnd"/>
      <w:r w:rsidR="00201772" w:rsidRPr="00201772">
        <w:rPr>
          <w:rFonts w:ascii="Times New Roman" w:hAnsi="Times New Roman"/>
          <w:sz w:val="30"/>
          <w:szCs w:val="30"/>
        </w:rPr>
        <w:t xml:space="preserve"> 2024 году в указанном состоянии находилось 18 человек (17,1 процента от общего числа погибших на производстве).</w:t>
      </w:r>
    </w:p>
    <w:p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 xml:space="preserve">Следует отметить, что в 2024 году по данным </w:t>
      </w:r>
      <w:proofErr w:type="spellStart"/>
      <w:r w:rsidRPr="00201772">
        <w:rPr>
          <w:rFonts w:ascii="Times New Roman" w:hAnsi="Times New Roman"/>
          <w:sz w:val="30"/>
          <w:szCs w:val="30"/>
        </w:rPr>
        <w:t>Белстата</w:t>
      </w:r>
      <w:proofErr w:type="spellEnd"/>
      <w:r w:rsidRPr="00201772">
        <w:rPr>
          <w:rFonts w:ascii="Times New Roman" w:hAnsi="Times New Roman"/>
          <w:sz w:val="30"/>
          <w:szCs w:val="30"/>
        </w:rPr>
        <w:t xml:space="preserve">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rsidR="00201772" w:rsidRPr="004B78C2" w:rsidRDefault="00201772" w:rsidP="00201772">
      <w:pPr>
        <w:pStyle w:val="a7"/>
        <w:spacing w:after="0"/>
        <w:ind w:left="0" w:firstLine="709"/>
        <w:jc w:val="both"/>
        <w:rPr>
          <w:rFonts w:ascii="Times New Roman" w:hAnsi="Times New Roman"/>
          <w:sz w:val="30"/>
          <w:szCs w:val="30"/>
        </w:rPr>
      </w:pPr>
    </w:p>
    <w:p w:rsidR="0027452E" w:rsidRDefault="0027452E" w:rsidP="0032184C">
      <w:pPr>
        <w:pStyle w:val="a7"/>
        <w:spacing w:after="0"/>
        <w:ind w:left="0" w:firstLine="709"/>
        <w:jc w:val="right"/>
        <w:rPr>
          <w:rFonts w:ascii="Times New Roman" w:hAnsi="Times New Roman"/>
          <w:sz w:val="30"/>
          <w:szCs w:val="30"/>
        </w:rPr>
      </w:pPr>
    </w:p>
    <w:p w:rsidR="00BC7C2E" w:rsidRPr="004269CD" w:rsidRDefault="00BC7C2E" w:rsidP="0032184C">
      <w:pPr>
        <w:pStyle w:val="a7"/>
        <w:spacing w:after="0"/>
        <w:ind w:left="0" w:firstLine="709"/>
        <w:jc w:val="right"/>
        <w:rPr>
          <w:rFonts w:ascii="Times New Roman" w:hAnsi="Times New Roman"/>
          <w:sz w:val="30"/>
          <w:szCs w:val="30"/>
        </w:rPr>
      </w:pPr>
      <w:r w:rsidRPr="004269CD">
        <w:rPr>
          <w:rFonts w:ascii="Times New Roman" w:hAnsi="Times New Roman"/>
          <w:sz w:val="30"/>
          <w:szCs w:val="30"/>
        </w:rPr>
        <w:lastRenderedPageBreak/>
        <w:t xml:space="preserve">Таблица </w:t>
      </w:r>
      <w:r w:rsidR="0027452E">
        <w:rPr>
          <w:rFonts w:ascii="Times New Roman" w:hAnsi="Times New Roman"/>
          <w:sz w:val="30"/>
          <w:szCs w:val="30"/>
        </w:rPr>
        <w:t>13</w:t>
      </w:r>
    </w:p>
    <w:p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4269CD" w:rsidRPr="001F1871" w:rsidTr="00541C65">
        <w:trPr>
          <w:trHeight w:val="901"/>
        </w:trPr>
        <w:tc>
          <w:tcPr>
            <w:tcW w:w="7621" w:type="dxa"/>
            <w:shd w:val="clear" w:color="auto" w:fill="auto"/>
            <w:vAlign w:val="center"/>
          </w:tcPr>
          <w:p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 xml:space="preserve">все </w:t>
            </w:r>
            <w:proofErr w:type="spellStart"/>
            <w:proofErr w:type="gramStart"/>
            <w:r w:rsidRPr="00694681">
              <w:rPr>
                <w:rFonts w:ascii="Times New Roman" w:hAnsi="Times New Roman"/>
                <w:sz w:val="26"/>
                <w:szCs w:val="26"/>
              </w:rPr>
              <w:t>несчаст-ные</w:t>
            </w:r>
            <w:proofErr w:type="spellEnd"/>
            <w:proofErr w:type="gramEnd"/>
            <w:r w:rsidRPr="00694681">
              <w:rPr>
                <w:rFonts w:ascii="Times New Roman" w:hAnsi="Times New Roman"/>
                <w:sz w:val="26"/>
                <w:szCs w:val="26"/>
              </w:rPr>
              <w:t xml:space="preserve"> случаи</w:t>
            </w:r>
          </w:p>
        </w:tc>
        <w:tc>
          <w:tcPr>
            <w:tcW w:w="993" w:type="dxa"/>
            <w:shd w:val="clear" w:color="auto" w:fill="auto"/>
            <w:vAlign w:val="center"/>
          </w:tcPr>
          <w:p w:rsidR="004269CD" w:rsidRPr="00694681" w:rsidRDefault="004269CD" w:rsidP="004269CD">
            <w:pPr>
              <w:pStyle w:val="a7"/>
              <w:spacing w:after="0" w:line="240" w:lineRule="exact"/>
              <w:ind w:left="-108" w:right="-108"/>
              <w:rPr>
                <w:rFonts w:ascii="Times New Roman" w:hAnsi="Times New Roman"/>
                <w:sz w:val="26"/>
                <w:szCs w:val="26"/>
              </w:rPr>
            </w:pPr>
            <w:proofErr w:type="spellStart"/>
            <w:proofErr w:type="gramStart"/>
            <w:r w:rsidRPr="00694681">
              <w:rPr>
                <w:rFonts w:ascii="Times New Roman" w:hAnsi="Times New Roman"/>
                <w:sz w:val="26"/>
                <w:szCs w:val="26"/>
              </w:rPr>
              <w:t>несчаст-ные</w:t>
            </w:r>
            <w:proofErr w:type="spellEnd"/>
            <w:proofErr w:type="gramEnd"/>
            <w:r w:rsidRPr="00694681">
              <w:rPr>
                <w:rFonts w:ascii="Times New Roman" w:hAnsi="Times New Roman"/>
                <w:sz w:val="26"/>
                <w:szCs w:val="26"/>
              </w:rPr>
              <w:t xml:space="preserve"> случаи</w:t>
            </w:r>
            <w:r w:rsidR="00694681" w:rsidRPr="00694681">
              <w:rPr>
                <w:rFonts w:ascii="Times New Roman" w:hAnsi="Times New Roman"/>
                <w:sz w:val="26"/>
                <w:szCs w:val="26"/>
              </w:rPr>
              <w:t xml:space="preserve"> со </w:t>
            </w:r>
            <w:proofErr w:type="spellStart"/>
            <w:r w:rsidR="00694681" w:rsidRPr="00694681">
              <w:rPr>
                <w:rFonts w:ascii="Times New Roman" w:hAnsi="Times New Roman"/>
                <w:sz w:val="26"/>
                <w:szCs w:val="26"/>
              </w:rPr>
              <w:t>смер</w:t>
            </w:r>
            <w:proofErr w:type="spellEnd"/>
            <w:r w:rsidR="00694681" w:rsidRPr="00694681">
              <w:rPr>
                <w:rFonts w:ascii="Times New Roman" w:hAnsi="Times New Roman"/>
                <w:sz w:val="26"/>
                <w:szCs w:val="26"/>
              </w:rPr>
              <w:t>-тельным исходом</w:t>
            </w:r>
          </w:p>
        </w:tc>
      </w:tr>
      <w:tr w:rsidR="00BC7C2E" w:rsidRPr="001F1871" w:rsidTr="004B3E57">
        <w:trPr>
          <w:trHeight w:val="474"/>
        </w:trPr>
        <w:tc>
          <w:tcPr>
            <w:tcW w:w="9606" w:type="dxa"/>
            <w:gridSpan w:val="3"/>
            <w:shd w:val="clear" w:color="auto" w:fill="auto"/>
            <w:vAlign w:val="center"/>
          </w:tcPr>
          <w:p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rsidTr="00396FA2">
        <w:tc>
          <w:tcPr>
            <w:tcW w:w="7621" w:type="dxa"/>
            <w:shd w:val="clear" w:color="auto" w:fill="auto"/>
            <w:vAlign w:val="center"/>
          </w:tcPr>
          <w:p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rsidTr="00541C65">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rsidTr="004B3E57">
        <w:trPr>
          <w:trHeight w:val="494"/>
        </w:trPr>
        <w:tc>
          <w:tcPr>
            <w:tcW w:w="7621" w:type="dxa"/>
            <w:shd w:val="clear" w:color="auto" w:fill="auto"/>
            <w:vAlign w:val="center"/>
          </w:tcPr>
          <w:p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rsidTr="004B3E57">
        <w:trPr>
          <w:trHeight w:val="499"/>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rsidTr="004B3E57">
        <w:trPr>
          <w:trHeight w:val="563"/>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потерпевшим, являющимся должностным лицом</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rsidTr="004B3E57">
        <w:trPr>
          <w:trHeight w:val="509"/>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rsidTr="00396FA2">
        <w:trPr>
          <w:trHeight w:val="530"/>
        </w:trPr>
        <w:tc>
          <w:tcPr>
            <w:tcW w:w="9606" w:type="dxa"/>
            <w:gridSpan w:val="3"/>
            <w:shd w:val="clear" w:color="auto" w:fill="auto"/>
            <w:vAlign w:val="center"/>
          </w:tcPr>
          <w:p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необеспечение потерпевшего средствами индивидуальной защиты</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lastRenderedPageBreak/>
              <w:t>нарушение требований проектной документации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 xml:space="preserve">не проведение </w:t>
            </w:r>
            <w:proofErr w:type="spellStart"/>
            <w:r w:rsidRPr="00694681">
              <w:rPr>
                <w:rFonts w:ascii="Times New Roman" w:hAnsi="Times New Roman"/>
                <w:sz w:val="26"/>
                <w:szCs w:val="26"/>
              </w:rPr>
              <w:t>предсменного</w:t>
            </w:r>
            <w:proofErr w:type="spellEnd"/>
            <w:r w:rsidRPr="00694681">
              <w:rPr>
                <w:rFonts w:ascii="Times New Roman" w:hAnsi="Times New Roman"/>
                <w:sz w:val="26"/>
                <w:szCs w:val="26"/>
              </w:rPr>
              <w:t xml:space="preserve">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rsidTr="009E6EA9">
        <w:tc>
          <w:tcPr>
            <w:tcW w:w="9606" w:type="dxa"/>
            <w:gridSpan w:val="3"/>
            <w:shd w:val="clear" w:color="auto" w:fill="auto"/>
            <w:vAlign w:val="center"/>
          </w:tcPr>
          <w:p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прочие</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rsidR="0027452E" w:rsidRDefault="0027452E" w:rsidP="00076147">
      <w:pPr>
        <w:ind w:firstLine="709"/>
        <w:jc w:val="both"/>
        <w:rPr>
          <w:rFonts w:ascii="Times New Roman" w:hAnsi="Times New Roman"/>
          <w:sz w:val="30"/>
          <w:szCs w:val="30"/>
          <w:lang w:eastAsia="ru-RU"/>
        </w:rPr>
      </w:pPr>
    </w:p>
    <w:p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 xml:space="preserve">основными формами </w:t>
      </w:r>
      <w:proofErr w:type="spellStart"/>
      <w:r w:rsidR="00076147" w:rsidRPr="004915D7">
        <w:rPr>
          <w:rFonts w:ascii="Times New Roman" w:hAnsi="Times New Roman"/>
          <w:sz w:val="30"/>
          <w:szCs w:val="30"/>
          <w:lang w:eastAsia="ru-RU"/>
        </w:rPr>
        <w:t>осуществл</w:t>
      </w:r>
      <w:r w:rsidR="00076147">
        <w:rPr>
          <w:rFonts w:ascii="Times New Roman" w:hAnsi="Times New Roman"/>
          <w:sz w:val="30"/>
          <w:szCs w:val="30"/>
          <w:lang w:eastAsia="ru-RU"/>
        </w:rPr>
        <w:t>ения</w:t>
      </w:r>
      <w:r w:rsidRPr="004915D7">
        <w:rPr>
          <w:rFonts w:ascii="Times New Roman" w:hAnsi="Times New Roman"/>
          <w:sz w:val="30"/>
          <w:szCs w:val="30"/>
          <w:lang w:eastAsia="ru-RU"/>
        </w:rPr>
        <w:t>Департаментом</w:t>
      </w:r>
      <w:proofErr w:type="spellEnd"/>
      <w:r w:rsidRPr="004915D7">
        <w:rPr>
          <w:rFonts w:ascii="Times New Roman" w:hAnsi="Times New Roman"/>
          <w:sz w:val="30"/>
          <w:szCs w:val="30"/>
          <w:lang w:eastAsia="ru-RU"/>
        </w:rPr>
        <w:t xml:space="preserve">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w:t>
      </w:r>
      <w:proofErr w:type="gramStart"/>
      <w:r w:rsidRPr="004915D7">
        <w:rPr>
          <w:rFonts w:ascii="Times New Roman" w:hAnsi="Times New Roman"/>
          <w:spacing w:val="-4"/>
          <w:sz w:val="30"/>
          <w:szCs w:val="30"/>
        </w:rPr>
        <w:t>деятельность  52</w:t>
      </w:r>
      <w:proofErr w:type="gramEnd"/>
      <w:r w:rsidRPr="004915D7">
        <w:rPr>
          <w:rFonts w:ascii="Times New Roman" w:hAnsi="Times New Roman"/>
          <w:spacing w:val="-4"/>
          <w:sz w:val="30"/>
          <w:szCs w:val="30"/>
        </w:rPr>
        <w:t xml:space="preserve">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lastRenderedPageBreak/>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rsidR="00337399" w:rsidRPr="004915D7" w:rsidRDefault="00337399" w:rsidP="0027452E">
      <w:pPr>
        <w:ind w:left="709" w:firstLine="709"/>
        <w:jc w:val="both"/>
        <w:rPr>
          <w:rFonts w:ascii="Times New Roman" w:hAnsi="Times New Roman"/>
          <w:i/>
          <w:iCs/>
          <w:sz w:val="28"/>
          <w:szCs w:val="28"/>
        </w:rPr>
      </w:pPr>
      <w:proofErr w:type="spellStart"/>
      <w:r w:rsidRPr="004915D7">
        <w:rPr>
          <w:rFonts w:ascii="Times New Roman" w:hAnsi="Times New Roman"/>
          <w:i/>
          <w:iCs/>
          <w:sz w:val="28"/>
          <w:szCs w:val="28"/>
        </w:rPr>
        <w:t>Справочно</w:t>
      </w:r>
      <w:proofErr w:type="spellEnd"/>
      <w:r w:rsidRPr="004915D7">
        <w:rPr>
          <w:rFonts w:ascii="Times New Roman" w:hAnsi="Times New Roman"/>
          <w:i/>
          <w:iCs/>
          <w:sz w:val="28"/>
          <w:szCs w:val="28"/>
        </w:rPr>
        <w:t>.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 xml:space="preserve">выявлению фактов сокрытия нанимателями от расследования несчастных случаев на </w:t>
      </w:r>
      <w:proofErr w:type="spellStart"/>
      <w:r w:rsidRPr="004915D7">
        <w:rPr>
          <w:rFonts w:ascii="Times New Roman" w:hAnsi="Times New Roman"/>
          <w:sz w:val="30"/>
          <w:szCs w:val="30"/>
        </w:rPr>
        <w:t>производстве</w:t>
      </w:r>
      <w:r w:rsidR="00427593">
        <w:rPr>
          <w:rFonts w:ascii="Times New Roman" w:hAnsi="Times New Roman"/>
          <w:sz w:val="30"/>
          <w:szCs w:val="30"/>
        </w:rPr>
        <w:t>.В</w:t>
      </w:r>
      <w:proofErr w:type="spellEnd"/>
      <w:r w:rsidR="00427593">
        <w:rPr>
          <w:rFonts w:ascii="Times New Roman" w:hAnsi="Times New Roman"/>
          <w:sz w:val="30"/>
          <w:szCs w:val="30"/>
        </w:rPr>
        <w:t xml:space="preserve"> 2024 году </w:t>
      </w:r>
      <w:r w:rsidRPr="004915D7">
        <w:rPr>
          <w:rFonts w:ascii="Times New Roman" w:hAnsi="Times New Roman"/>
          <w:sz w:val="30"/>
          <w:szCs w:val="30"/>
        </w:rPr>
        <w:t>установлено 21 таких фактов.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rsidR="00A63BF2" w:rsidRPr="00A2182D" w:rsidRDefault="00A63BF2" w:rsidP="0027452E">
      <w:pPr>
        <w:ind w:firstLine="709"/>
        <w:jc w:val="both"/>
        <w:rPr>
          <w:rFonts w:ascii="Times New Roman" w:hAnsi="Times New Roman"/>
          <w:color w:val="000000"/>
          <w:sz w:val="30"/>
          <w:szCs w:val="30"/>
        </w:rPr>
      </w:pPr>
      <w:r w:rsidRPr="00A2182D">
        <w:rPr>
          <w:rFonts w:ascii="Times New Roman" w:hAnsi="Times New Roman"/>
          <w:sz w:val="30"/>
          <w:szCs w:val="30"/>
        </w:rPr>
        <w:lastRenderedPageBreak/>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 xml:space="preserve">в рамках осуществления надзорных мероприятий, а также реализации Соглашения между Министерством </w:t>
      </w:r>
      <w:proofErr w:type="spellStart"/>
      <w:r w:rsidRPr="00A2182D">
        <w:rPr>
          <w:rFonts w:ascii="Times New Roman" w:hAnsi="Times New Roman"/>
          <w:sz w:val="30"/>
          <w:szCs w:val="30"/>
          <w:lang w:eastAsia="ru-RU"/>
        </w:rPr>
        <w:t>трудаи</w:t>
      </w:r>
      <w:proofErr w:type="spellEnd"/>
      <w:r w:rsidRPr="00A2182D">
        <w:rPr>
          <w:rFonts w:ascii="Times New Roman" w:hAnsi="Times New Roman"/>
          <w:sz w:val="30"/>
          <w:szCs w:val="30"/>
          <w:lang w:eastAsia="ru-RU"/>
        </w:rPr>
        <w:t xml:space="preserve">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 xml:space="preserve">государственными инспекторами Департамента во </w:t>
      </w:r>
      <w:proofErr w:type="spellStart"/>
      <w:r w:rsidRPr="00A2182D">
        <w:rPr>
          <w:rFonts w:ascii="Times New Roman" w:hAnsi="Times New Roman"/>
          <w:color w:val="000000"/>
          <w:sz w:val="30"/>
          <w:szCs w:val="30"/>
        </w:rPr>
        <w:t>взаимодействиис</w:t>
      </w:r>
      <w:proofErr w:type="spellEnd"/>
      <w:r w:rsidRPr="00A2182D">
        <w:rPr>
          <w:rFonts w:ascii="Times New Roman" w:hAnsi="Times New Roman"/>
          <w:color w:val="000000"/>
          <w:sz w:val="30"/>
          <w:szCs w:val="30"/>
        </w:rPr>
        <w:t xml:space="preserve"> профсоюзами </w:t>
      </w:r>
      <w:r w:rsidRPr="00A2182D">
        <w:rPr>
          <w:rFonts w:ascii="Times New Roman" w:hAnsi="Times New Roman"/>
          <w:sz w:val="30"/>
          <w:szCs w:val="30"/>
          <w:lang w:eastAsia="ru-RU"/>
        </w:rPr>
        <w:t xml:space="preserve">посещено 623 студенческих отряда и изучена </w:t>
      </w:r>
      <w:proofErr w:type="spellStart"/>
      <w:r w:rsidRPr="00A2182D">
        <w:rPr>
          <w:rFonts w:ascii="Times New Roman" w:hAnsi="Times New Roman"/>
          <w:sz w:val="30"/>
          <w:szCs w:val="30"/>
          <w:lang w:eastAsia="ru-RU"/>
        </w:rPr>
        <w:t>работапо</w:t>
      </w:r>
      <w:proofErr w:type="spellEnd"/>
      <w:r w:rsidRPr="00A2182D">
        <w:rPr>
          <w:rFonts w:ascii="Times New Roman" w:hAnsi="Times New Roman"/>
          <w:sz w:val="30"/>
          <w:szCs w:val="30"/>
          <w:lang w:eastAsia="ru-RU"/>
        </w:rPr>
        <w:t xml:space="preserve"> охране труда в части</w:t>
      </w:r>
      <w:r w:rsidRPr="00A2182D">
        <w:rPr>
          <w:rFonts w:ascii="Times New Roman" w:hAnsi="Times New Roman"/>
          <w:color w:val="000000"/>
          <w:sz w:val="30"/>
          <w:szCs w:val="30"/>
        </w:rPr>
        <w:t xml:space="preserve"> обеспечения безопасных условий </w:t>
      </w:r>
      <w:proofErr w:type="spellStart"/>
      <w:r w:rsidRPr="00A2182D">
        <w:rPr>
          <w:rFonts w:ascii="Times New Roman" w:hAnsi="Times New Roman"/>
          <w:color w:val="000000"/>
          <w:sz w:val="30"/>
          <w:szCs w:val="30"/>
        </w:rPr>
        <w:t>трудапри</w:t>
      </w:r>
      <w:proofErr w:type="spellEnd"/>
      <w:r w:rsidRPr="00A2182D">
        <w:rPr>
          <w:rFonts w:ascii="Times New Roman" w:hAnsi="Times New Roman"/>
          <w:color w:val="000000"/>
          <w:sz w:val="30"/>
          <w:szCs w:val="30"/>
        </w:rPr>
        <w:t xml:space="preserve"> осуществлении их деятельности. Для придания этой работе системного 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rsidR="00DA1F4B" w:rsidRDefault="00DA1F4B" w:rsidP="00DA1F4B">
      <w:pPr>
        <w:spacing w:line="330" w:lineRule="exact"/>
        <w:ind w:firstLine="720"/>
        <w:jc w:val="both"/>
        <w:rPr>
          <w:rFonts w:ascii="Times New Roman" w:hAnsi="Times New Roman"/>
          <w:sz w:val="30"/>
          <w:szCs w:val="30"/>
        </w:rPr>
      </w:pPr>
    </w:p>
    <w:p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rsidR="00A07B28" w:rsidRPr="00A07B28" w:rsidRDefault="00A07B28" w:rsidP="001367DD">
      <w:pPr>
        <w:spacing w:line="330" w:lineRule="exact"/>
        <w:ind w:firstLine="720"/>
        <w:jc w:val="both"/>
        <w:rPr>
          <w:rFonts w:ascii="Times New Roman" w:hAnsi="Times New Roman"/>
          <w:sz w:val="30"/>
          <w:szCs w:val="30"/>
        </w:rPr>
      </w:pPr>
    </w:p>
    <w:sectPr w:rsidR="00A07B28" w:rsidRPr="00A07B28" w:rsidSect="00A944E4">
      <w:headerReference w:type="default" r:id="rId8"/>
      <w:headerReference w:type="first" r:id="rId9"/>
      <w:pgSz w:w="11906" w:h="16838"/>
      <w:pgMar w:top="142"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8C" w:rsidRDefault="00144D8C" w:rsidP="00EE5D62">
      <w:r>
        <w:separator/>
      </w:r>
    </w:p>
  </w:endnote>
  <w:endnote w:type="continuationSeparator" w:id="0">
    <w:p w:rsidR="00144D8C" w:rsidRDefault="00144D8C" w:rsidP="00EE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8C" w:rsidRDefault="00144D8C" w:rsidP="00EE5D62">
      <w:r>
        <w:separator/>
      </w:r>
    </w:p>
  </w:footnote>
  <w:footnote w:type="continuationSeparator" w:id="0">
    <w:p w:rsidR="00144D8C" w:rsidRDefault="00144D8C" w:rsidP="00EE5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73178"/>
      <w:docPartObj>
        <w:docPartGallery w:val="Page Numbers (Top of Page)"/>
        <w:docPartUnique/>
      </w:docPartObj>
    </w:sdtPr>
    <w:sdtEndPr/>
    <w:sdtContent>
      <w:p w:rsidR="00D64D35" w:rsidRDefault="00325F68">
        <w:pPr>
          <w:pStyle w:val="af0"/>
        </w:pPr>
        <w:r>
          <w:fldChar w:fldCharType="begin"/>
        </w:r>
        <w:r w:rsidR="00D64D35">
          <w:instrText>PAGE   \* MERGEFORMAT</w:instrText>
        </w:r>
        <w:r>
          <w:fldChar w:fldCharType="separate"/>
        </w:r>
        <w:r w:rsidR="00522CD3">
          <w:rPr>
            <w:noProof/>
          </w:rPr>
          <w:t>2</w:t>
        </w:r>
        <w:r>
          <w:fldChar w:fldCharType="end"/>
        </w:r>
      </w:p>
    </w:sdtContent>
  </w:sdt>
  <w:p w:rsidR="00D64D35" w:rsidRPr="00C23966" w:rsidRDefault="00D64D35" w:rsidP="00A944E4">
    <w:pPr>
      <w:pStyle w:val="af0"/>
      <w:jc w:val="both"/>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35" w:rsidRDefault="00D64D35">
    <w:pPr>
      <w:pStyle w:val="af0"/>
    </w:pPr>
  </w:p>
  <w:p w:rsidR="00D64D35" w:rsidRDefault="00D64D3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BAF"/>
    <w:rsid w:val="000B3D59"/>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D8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5F68"/>
    <w:rsid w:val="00326C4C"/>
    <w:rsid w:val="00327087"/>
    <w:rsid w:val="003308F1"/>
    <w:rsid w:val="00334714"/>
    <w:rsid w:val="00334783"/>
    <w:rsid w:val="0033650D"/>
    <w:rsid w:val="00337399"/>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2CD3"/>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5DA6"/>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C0230"/>
    <w:rsid w:val="008C0C37"/>
    <w:rsid w:val="008C0E20"/>
    <w:rsid w:val="008C14FE"/>
    <w:rsid w:val="008C1C44"/>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9C"/>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C90"/>
    <w:rsid w:val="00EF6AD3"/>
    <w:rsid w:val="00EF70C3"/>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E8428-4E01-4DCD-874D-1486066B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DE34-276B-4F64-B8F8-4C394FCA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4565</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30525</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User</cp:lastModifiedBy>
  <cp:revision>2</cp:revision>
  <cp:lastPrinted>2025-03-31T08:26:00Z</cp:lastPrinted>
  <dcterms:created xsi:type="dcterms:W3CDTF">2025-04-25T08:26:00Z</dcterms:created>
  <dcterms:modified xsi:type="dcterms:W3CDTF">2025-04-25T08:26:00Z</dcterms:modified>
</cp:coreProperties>
</file>